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bottom w:val="single" w:sz="4" w:space="0" w:color="auto"/>
        </w:tblBorders>
        <w:tblLook w:val="01E0" w:firstRow="1" w:lastRow="1" w:firstColumn="1" w:lastColumn="1" w:noHBand="0" w:noVBand="0"/>
      </w:tblPr>
      <w:tblGrid>
        <w:gridCol w:w="1560"/>
        <w:gridCol w:w="5776"/>
        <w:gridCol w:w="1736"/>
      </w:tblGrid>
      <w:tr w:rsidR="00177F40" w14:paraId="03ACED7D" w14:textId="77777777" w:rsidTr="00D521EB">
        <w:trPr>
          <w:trHeight w:val="709"/>
        </w:trPr>
        <w:tc>
          <w:tcPr>
            <w:tcW w:w="1630" w:type="dxa"/>
            <w:vMerge w:val="restart"/>
            <w:shd w:val="clear" w:color="auto" w:fill="auto"/>
            <w:vAlign w:val="center"/>
          </w:tcPr>
          <w:p w14:paraId="2C991040" w14:textId="77777777" w:rsidR="008A11C1" w:rsidRPr="00D521EB" w:rsidRDefault="00000000" w:rsidP="00D521EB">
            <w:pPr>
              <w:jc w:val="center"/>
              <w:rPr>
                <w:lang w:val="en-US"/>
              </w:rPr>
            </w:pPr>
            <w:r>
              <w:rPr>
                <w:rFonts w:ascii="Arial" w:hAnsi="Arial" w:cs="Arial"/>
                <w:noProof/>
                <w:sz w:val="22"/>
                <w:szCs w:val="22"/>
              </w:rPr>
              <w:drawing>
                <wp:inline distT="0" distB="0" distL="0" distR="0" wp14:anchorId="564FCF89" wp14:editId="4ED99608">
                  <wp:extent cx="647700" cy="933450"/>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47700" cy="933450"/>
                          </a:xfrm>
                          <a:prstGeom prst="rect">
                            <a:avLst/>
                          </a:prstGeom>
                          <a:noFill/>
                          <a:ln>
                            <a:noFill/>
                          </a:ln>
                        </pic:spPr>
                      </pic:pic>
                    </a:graphicData>
                  </a:graphic>
                </wp:inline>
              </w:drawing>
            </w:r>
          </w:p>
        </w:tc>
        <w:tc>
          <w:tcPr>
            <w:tcW w:w="6570" w:type="dxa"/>
            <w:shd w:val="clear" w:color="auto" w:fill="auto"/>
            <w:vAlign w:val="center"/>
          </w:tcPr>
          <w:p w14:paraId="0711296A" w14:textId="77777777" w:rsidR="008A11C1" w:rsidRPr="00D521EB" w:rsidRDefault="00000000" w:rsidP="00D521EB">
            <w:pPr>
              <w:jc w:val="center"/>
              <w:rPr>
                <w:lang w:val="en-US"/>
              </w:rPr>
            </w:pPr>
            <w:r w:rsidRPr="00D521EB">
              <w:rPr>
                <w:rFonts w:ascii="Bookman Old Style" w:eastAsia="Arial Unicode MS" w:hAnsi="Bookman Old Style" w:cs="Arial Unicode MS"/>
                <w:b/>
                <w:sz w:val="36"/>
                <w:szCs w:val="36"/>
              </w:rPr>
              <w:t>Burmistrz Helu</w:t>
            </w:r>
          </w:p>
        </w:tc>
        <w:tc>
          <w:tcPr>
            <w:tcW w:w="1759" w:type="dxa"/>
            <w:vMerge w:val="restart"/>
            <w:tcBorders>
              <w:bottom w:val="nil"/>
            </w:tcBorders>
            <w:shd w:val="clear" w:color="auto" w:fill="auto"/>
            <w:vAlign w:val="center"/>
          </w:tcPr>
          <w:p w14:paraId="386E89E5" w14:textId="77777777" w:rsidR="008A11C1" w:rsidRPr="00D521EB" w:rsidRDefault="00000000" w:rsidP="00D521EB">
            <w:pPr>
              <w:jc w:val="center"/>
              <w:rPr>
                <w:rFonts w:ascii="Bookman Old Style" w:eastAsia="Arial Unicode MS" w:hAnsi="Bookman Old Style" w:cs="Arial Unicode MS"/>
                <w:b/>
                <w:sz w:val="36"/>
                <w:szCs w:val="36"/>
              </w:rPr>
            </w:pPr>
            <w:r w:rsidRPr="00D521EB">
              <w:rPr>
                <w:rFonts w:ascii="Arial" w:hAnsi="Arial" w:cs="Arial"/>
                <w:noProof/>
                <w:sz w:val="22"/>
                <w:szCs w:val="22"/>
              </w:rPr>
              <w:drawing>
                <wp:inline distT="0" distB="0" distL="0" distR="0" wp14:anchorId="0C5D93E4" wp14:editId="3C290489">
                  <wp:extent cx="552450" cy="733425"/>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52450" cy="733425"/>
                          </a:xfrm>
                          <a:prstGeom prst="rect">
                            <a:avLst/>
                          </a:prstGeom>
                          <a:noFill/>
                          <a:ln>
                            <a:noFill/>
                          </a:ln>
                        </pic:spPr>
                      </pic:pic>
                    </a:graphicData>
                  </a:graphic>
                </wp:inline>
              </w:drawing>
            </w:r>
          </w:p>
        </w:tc>
      </w:tr>
      <w:tr w:rsidR="00177F40" w14:paraId="549CE955" w14:textId="77777777" w:rsidTr="00D521EB">
        <w:trPr>
          <w:trHeight w:val="555"/>
        </w:trPr>
        <w:tc>
          <w:tcPr>
            <w:tcW w:w="1630" w:type="dxa"/>
            <w:vMerge/>
            <w:shd w:val="clear" w:color="auto" w:fill="auto"/>
            <w:vAlign w:val="center"/>
          </w:tcPr>
          <w:p w14:paraId="1C1F78FA" w14:textId="77777777" w:rsidR="008A11C1" w:rsidRPr="00D521EB" w:rsidRDefault="008A11C1" w:rsidP="00E02892">
            <w:pPr>
              <w:rPr>
                <w:lang w:val="en-US"/>
              </w:rPr>
            </w:pPr>
          </w:p>
        </w:tc>
        <w:tc>
          <w:tcPr>
            <w:tcW w:w="6570" w:type="dxa"/>
            <w:vMerge w:val="restart"/>
            <w:shd w:val="clear" w:color="auto" w:fill="auto"/>
            <w:vAlign w:val="bottom"/>
          </w:tcPr>
          <w:p w14:paraId="7E70DADE" w14:textId="77777777" w:rsidR="008A11C1" w:rsidRPr="00D521EB" w:rsidRDefault="00000000" w:rsidP="00D521EB">
            <w:pPr>
              <w:jc w:val="center"/>
              <w:rPr>
                <w:rFonts w:ascii="Bookman Old Style" w:eastAsia="Arial Unicode MS" w:hAnsi="Bookman Old Style" w:cs="Arial Unicode MS"/>
              </w:rPr>
            </w:pPr>
            <w:r w:rsidRPr="00D521EB">
              <w:rPr>
                <w:rFonts w:ascii="Bookman Old Style" w:eastAsia="Arial Unicode MS" w:hAnsi="Bookman Old Style" w:cs="Arial Unicode MS"/>
              </w:rPr>
              <w:t>84-150 Hel</w:t>
            </w:r>
            <w:r>
              <w:rPr>
                <w:rFonts w:ascii="Bookman Old Style" w:eastAsia="Arial Unicode MS" w:hAnsi="Bookman Old Style" w:cs="Arial Unicode MS"/>
              </w:rPr>
              <w:t>,</w:t>
            </w:r>
            <w:r w:rsidRPr="00D521EB">
              <w:rPr>
                <w:rFonts w:ascii="Bookman Old Style" w:eastAsia="Arial Unicode MS" w:hAnsi="Bookman Old Style" w:cs="Arial Unicode MS"/>
              </w:rPr>
              <w:t xml:space="preserve"> </w:t>
            </w:r>
            <w:r>
              <w:rPr>
                <w:rFonts w:ascii="Bookman Old Style" w:eastAsia="Arial Unicode MS" w:hAnsi="Bookman Old Style" w:cs="Arial Unicode MS"/>
              </w:rPr>
              <w:t>ul. Wiejska 50</w:t>
            </w:r>
          </w:p>
          <w:p w14:paraId="4A8984DD" w14:textId="77777777" w:rsidR="008A11C1" w:rsidRPr="00D521EB" w:rsidRDefault="008A11C1" w:rsidP="00D521EB">
            <w:pPr>
              <w:jc w:val="center"/>
              <w:rPr>
                <w:rFonts w:ascii="Bookman Old Style" w:eastAsia="Arial Unicode MS" w:hAnsi="Bookman Old Style" w:cs="Arial"/>
                <w:sz w:val="20"/>
                <w:szCs w:val="20"/>
                <w:lang w:val="en-US"/>
              </w:rPr>
            </w:pPr>
          </w:p>
        </w:tc>
        <w:tc>
          <w:tcPr>
            <w:tcW w:w="1759" w:type="dxa"/>
            <w:vMerge/>
            <w:tcBorders>
              <w:bottom w:val="nil"/>
            </w:tcBorders>
            <w:shd w:val="clear" w:color="auto" w:fill="auto"/>
            <w:vAlign w:val="bottom"/>
          </w:tcPr>
          <w:p w14:paraId="18BAE2D6" w14:textId="77777777" w:rsidR="008A11C1" w:rsidRPr="00D521EB" w:rsidRDefault="008A11C1" w:rsidP="00D521EB">
            <w:pPr>
              <w:jc w:val="right"/>
              <w:rPr>
                <w:rFonts w:ascii="Bookman Old Style" w:eastAsia="Arial Unicode MS" w:hAnsi="Bookman Old Style" w:cs="Arial"/>
                <w:sz w:val="20"/>
                <w:szCs w:val="20"/>
                <w:lang w:val="en-US"/>
              </w:rPr>
            </w:pPr>
          </w:p>
        </w:tc>
      </w:tr>
      <w:tr w:rsidR="00177F40" w14:paraId="1407A63C" w14:textId="77777777" w:rsidTr="00D521EB">
        <w:trPr>
          <w:trHeight w:val="171"/>
        </w:trPr>
        <w:tc>
          <w:tcPr>
            <w:tcW w:w="1630" w:type="dxa"/>
            <w:vMerge/>
            <w:tcBorders>
              <w:bottom w:val="single" w:sz="4" w:space="0" w:color="auto"/>
            </w:tcBorders>
            <w:shd w:val="clear" w:color="auto" w:fill="auto"/>
            <w:vAlign w:val="center"/>
          </w:tcPr>
          <w:p w14:paraId="22B0478F" w14:textId="77777777" w:rsidR="008A11C1" w:rsidRPr="00D521EB" w:rsidRDefault="008A11C1" w:rsidP="00E02892">
            <w:pPr>
              <w:rPr>
                <w:lang w:val="en-US"/>
              </w:rPr>
            </w:pPr>
          </w:p>
        </w:tc>
        <w:tc>
          <w:tcPr>
            <w:tcW w:w="6570" w:type="dxa"/>
            <w:vMerge/>
            <w:tcBorders>
              <w:bottom w:val="single" w:sz="4" w:space="0" w:color="auto"/>
            </w:tcBorders>
            <w:shd w:val="clear" w:color="auto" w:fill="auto"/>
            <w:vAlign w:val="bottom"/>
          </w:tcPr>
          <w:p w14:paraId="5FB5FF15" w14:textId="77777777" w:rsidR="008A11C1" w:rsidRPr="00D521EB" w:rsidRDefault="008A11C1" w:rsidP="00D521EB">
            <w:pPr>
              <w:jc w:val="center"/>
              <w:rPr>
                <w:rFonts w:ascii="Bookman Old Style" w:eastAsia="Arial Unicode MS" w:hAnsi="Bookman Old Style" w:cs="Arial Unicode MS"/>
                <w:sz w:val="20"/>
                <w:szCs w:val="20"/>
                <w:lang w:val="en-US"/>
              </w:rPr>
            </w:pPr>
          </w:p>
        </w:tc>
        <w:tc>
          <w:tcPr>
            <w:tcW w:w="1759" w:type="dxa"/>
            <w:tcBorders>
              <w:top w:val="nil"/>
              <w:bottom w:val="single" w:sz="4" w:space="0" w:color="auto"/>
            </w:tcBorders>
            <w:shd w:val="clear" w:color="auto" w:fill="auto"/>
            <w:vAlign w:val="bottom"/>
          </w:tcPr>
          <w:p w14:paraId="6407A311" w14:textId="77777777" w:rsidR="008A11C1" w:rsidRPr="00D521EB" w:rsidRDefault="00000000" w:rsidP="00E02892">
            <w:pPr>
              <w:rPr>
                <w:rFonts w:ascii="Bookman Old Style" w:eastAsia="Arial Unicode MS" w:hAnsi="Bookman Old Style" w:cs="Arial"/>
                <w:sz w:val="20"/>
                <w:szCs w:val="20"/>
                <w:lang w:val="en-US"/>
              </w:rPr>
            </w:pPr>
            <w:r w:rsidRPr="00C40F7D">
              <w:rPr>
                <w:rFonts w:eastAsia="Arial Unicode MS"/>
                <w:lang w:val="en-US"/>
              </w:rPr>
              <w:t>www.goHel.pl</w:t>
            </w:r>
          </w:p>
        </w:tc>
      </w:tr>
    </w:tbl>
    <w:p w14:paraId="04810439" w14:textId="77777777" w:rsidR="008A11C1" w:rsidRPr="00A65175" w:rsidRDefault="008A11C1" w:rsidP="00933183">
      <w:pPr>
        <w:spacing w:line="360" w:lineRule="auto"/>
        <w:jc w:val="right"/>
      </w:pPr>
    </w:p>
    <w:p w14:paraId="358D885F" w14:textId="77777777" w:rsidR="00A65175" w:rsidRPr="00A65175" w:rsidRDefault="00A65175" w:rsidP="00933183">
      <w:pPr>
        <w:spacing w:line="360" w:lineRule="auto"/>
        <w:jc w:val="right"/>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2"/>
      </w:tblGrid>
      <w:tr w:rsidR="00177F40" w:rsidRPr="00A65175" w14:paraId="3C7F955A" w14:textId="77777777" w:rsidTr="00C05E47">
        <w:tc>
          <w:tcPr>
            <w:tcW w:w="4866" w:type="dxa"/>
          </w:tcPr>
          <w:p w14:paraId="648BA990" w14:textId="062B45CE" w:rsidR="008A11C1" w:rsidRPr="00A65175" w:rsidRDefault="00000000" w:rsidP="00933183">
            <w:pPr>
              <w:spacing w:line="360" w:lineRule="auto"/>
              <w:rPr>
                <w:sz w:val="20"/>
                <w:szCs w:val="20"/>
              </w:rPr>
            </w:pPr>
            <w:r w:rsidRPr="00A65175">
              <w:rPr>
                <w:sz w:val="20"/>
                <w:szCs w:val="20"/>
              </w:rPr>
              <w:t xml:space="preserve">Znak sprawy: </w:t>
            </w:r>
            <w:bookmarkStart w:id="0" w:name="ezdSprawaZnak"/>
            <w:r w:rsidRPr="00A65175">
              <w:rPr>
                <w:sz w:val="20"/>
                <w:szCs w:val="20"/>
              </w:rPr>
              <w:t>RGK</w:t>
            </w:r>
            <w:r w:rsidR="0051073C">
              <w:rPr>
                <w:sz w:val="20"/>
                <w:szCs w:val="20"/>
              </w:rPr>
              <w:t>.601.1.</w:t>
            </w:r>
            <w:r w:rsidRPr="00A65175">
              <w:rPr>
                <w:sz w:val="20"/>
                <w:szCs w:val="20"/>
              </w:rPr>
              <w:t>2024</w:t>
            </w:r>
            <w:bookmarkEnd w:id="0"/>
          </w:p>
        </w:tc>
        <w:tc>
          <w:tcPr>
            <w:tcW w:w="4867" w:type="dxa"/>
          </w:tcPr>
          <w:p w14:paraId="5CF4F59E" w14:textId="25CAF30B" w:rsidR="008A11C1" w:rsidRPr="00A65175" w:rsidRDefault="00000000" w:rsidP="00933183">
            <w:pPr>
              <w:spacing w:line="360" w:lineRule="auto"/>
              <w:jc w:val="right"/>
            </w:pPr>
            <w:r w:rsidRPr="00A65175">
              <w:t xml:space="preserve">Hel, </w:t>
            </w:r>
            <w:r w:rsidR="00A65175" w:rsidRPr="00A65175">
              <w:t>dnia</w:t>
            </w:r>
            <w:r w:rsidR="00807B9E">
              <w:t xml:space="preserve"> 16.02.2024</w:t>
            </w:r>
            <w:r w:rsidR="00A65175" w:rsidRPr="00A65175">
              <w:t xml:space="preserve"> roku.</w:t>
            </w:r>
          </w:p>
        </w:tc>
      </w:tr>
    </w:tbl>
    <w:p w14:paraId="72ACA234" w14:textId="77777777" w:rsidR="00042D10" w:rsidRDefault="00042D10" w:rsidP="00933183">
      <w:pPr>
        <w:spacing w:line="360" w:lineRule="auto"/>
      </w:pPr>
    </w:p>
    <w:p w14:paraId="0A3A8EBA" w14:textId="77777777" w:rsidR="00807B9E" w:rsidRDefault="00807B9E" w:rsidP="00933183">
      <w:pPr>
        <w:spacing w:line="360" w:lineRule="auto"/>
      </w:pPr>
    </w:p>
    <w:p w14:paraId="0382272D" w14:textId="77777777" w:rsidR="00807B9E" w:rsidRDefault="00807B9E" w:rsidP="00933183">
      <w:pPr>
        <w:spacing w:line="360" w:lineRule="auto"/>
        <w:jc w:val="center"/>
        <w:rPr>
          <w:b/>
          <w:bCs/>
        </w:rPr>
      </w:pPr>
      <w:r>
        <w:rPr>
          <w:b/>
          <w:bCs/>
        </w:rPr>
        <w:t>OBWIESZCZENIE</w:t>
      </w:r>
    </w:p>
    <w:p w14:paraId="3325A644" w14:textId="77777777" w:rsidR="00807B9E" w:rsidRDefault="00807B9E" w:rsidP="00933183">
      <w:pPr>
        <w:spacing w:line="360" w:lineRule="auto"/>
      </w:pPr>
    </w:p>
    <w:p w14:paraId="46684C07" w14:textId="38AA69B7" w:rsidR="00807B9E" w:rsidRDefault="00807B9E" w:rsidP="00933183">
      <w:pPr>
        <w:spacing w:line="360" w:lineRule="auto"/>
        <w:jc w:val="both"/>
      </w:pPr>
      <w:r>
        <w:t>Na podstawie art. 10 § 1, art. 35 § 5, art. 49, art. 61 § 4 i art. 73 § 1 ustawy z dnia 14 czerwca 1960 r. Kodeks postępowania administracyjnego (Dz. U. z 202</w:t>
      </w:r>
      <w:r w:rsidR="00933183">
        <w:t>3</w:t>
      </w:r>
      <w:r>
        <w:t xml:space="preserve"> r. poz. </w:t>
      </w:r>
      <w:r w:rsidR="00933183">
        <w:t>775</w:t>
      </w:r>
      <w:r>
        <w:t>, ze zm.)</w:t>
      </w:r>
      <w:r w:rsidR="00933183">
        <w:br/>
      </w:r>
      <w:r>
        <w:t>oraz art. 33, art. 75 ust 1 oraz art. 79 ust. 1 ustawy z dnia 3 października 2008 r. o udostępnieniu informacji o środowisku i jego ochronie, udziale społeczeństwa w ochronie środowiska</w:t>
      </w:r>
      <w:r>
        <w:br/>
        <w:t>oraz o ocenach oddziaływania na środowisko (</w:t>
      </w:r>
      <w:r>
        <w:rPr>
          <w:bCs/>
        </w:rPr>
        <w:t>Dz. U. z 202</w:t>
      </w:r>
      <w:r w:rsidR="00933183">
        <w:rPr>
          <w:bCs/>
        </w:rPr>
        <w:t>3</w:t>
      </w:r>
      <w:r>
        <w:rPr>
          <w:bCs/>
        </w:rPr>
        <w:t xml:space="preserve"> r. poz. 10</w:t>
      </w:r>
      <w:r w:rsidR="00933183">
        <w:rPr>
          <w:bCs/>
        </w:rPr>
        <w:t>94</w:t>
      </w:r>
      <w:r>
        <w:rPr>
          <w:bCs/>
        </w:rPr>
        <w:t xml:space="preserve"> ze zm.) </w:t>
      </w:r>
      <w:r>
        <w:t xml:space="preserve">Burmistrz Helu zawiadamia o wszczęciu postępowania w sprawie wydania decyzji o środowiskowych uwarunkowaniach zgody na realizację przedsięwzięcia polegającego na: „Budowie </w:t>
      </w:r>
      <w:r w:rsidR="0051073C">
        <w:t>trzech budynków usługowo-mieszkalnych „Apart – Hotel” wraz z niezbędną infrastrukturą towarzyszącą na działkach nr ew. 849, 574/8, 574/6, 173/21, 173/10, 574/4, 581/3, 185/3, 184/3, 515/1, 151/2, 184/4, 185/4, 581/5 w miejscowości Hel”.</w:t>
      </w:r>
    </w:p>
    <w:p w14:paraId="39410BB2" w14:textId="77777777" w:rsidR="003E069B" w:rsidRDefault="003E069B" w:rsidP="00933183">
      <w:pPr>
        <w:spacing w:line="360" w:lineRule="auto"/>
        <w:jc w:val="both"/>
      </w:pPr>
    </w:p>
    <w:p w14:paraId="2A3993C4" w14:textId="77777777" w:rsidR="00807B9E" w:rsidRPr="00933183" w:rsidRDefault="00807B9E" w:rsidP="00933183">
      <w:pPr>
        <w:spacing w:line="360" w:lineRule="auto"/>
        <w:jc w:val="both"/>
      </w:pPr>
      <w:r w:rsidRPr="00933183">
        <w:t>Celem niniejszego postępowania jest określenie, analiza oraz ocena bezpośredniego</w:t>
      </w:r>
      <w:r w:rsidRPr="00933183">
        <w:br/>
        <w:t>i pośredniego wpływu przedsięwzięcia m.in. na środowisko oraz warunki zdrowia i życia ludzi.</w:t>
      </w:r>
    </w:p>
    <w:p w14:paraId="7DE69D44" w14:textId="77777777" w:rsidR="00807B9E" w:rsidRDefault="00807B9E" w:rsidP="00933183">
      <w:pPr>
        <w:pStyle w:val="NormalnyWeb"/>
        <w:spacing w:before="0" w:beforeAutospacing="0" w:after="0" w:afterAutospacing="0" w:line="360" w:lineRule="auto"/>
        <w:jc w:val="both"/>
        <w:rPr>
          <w:color w:val="000000"/>
        </w:rPr>
      </w:pPr>
      <w:r>
        <w:rPr>
          <w:color w:val="000000"/>
        </w:rPr>
        <w:t>Mając na uwadze, że planowana działalność zalicza się do kategorii przedsięwzięć mogących potencjalnie znacząco oddziaływać na środowisko przystąpiono do przeprowadzenia oceny oddziaływania na środowisko planowanego przedsięwzięcia. Organem administracji właściwym do wydania decyzji w tej sprawie jest Burmistrz Helu, natomiast organami biorącymi udział w ocenie oddziaływania na środowisko, właściwymi do dokonania opinii</w:t>
      </w:r>
      <w:r>
        <w:rPr>
          <w:color w:val="000000"/>
        </w:rPr>
        <w:br/>
        <w:t>i uzgodnień są:</w:t>
      </w:r>
    </w:p>
    <w:p w14:paraId="132C3C75" w14:textId="77777777" w:rsidR="00807B9E" w:rsidRDefault="00807B9E" w:rsidP="00933183">
      <w:pPr>
        <w:pStyle w:val="NormalnyWeb"/>
        <w:numPr>
          <w:ilvl w:val="0"/>
          <w:numId w:val="20"/>
        </w:numPr>
        <w:suppressAutoHyphens/>
        <w:spacing w:before="0" w:beforeAutospacing="0" w:after="0" w:afterAutospacing="0" w:line="360" w:lineRule="auto"/>
        <w:jc w:val="both"/>
      </w:pPr>
      <w:r>
        <w:t>Regionalny Dyrektor Ochrony Środowiska w Gdańsku;</w:t>
      </w:r>
    </w:p>
    <w:p w14:paraId="231806A2" w14:textId="77777777" w:rsidR="00807B9E" w:rsidRDefault="00807B9E" w:rsidP="00933183">
      <w:pPr>
        <w:pStyle w:val="NormalnyWeb"/>
        <w:numPr>
          <w:ilvl w:val="0"/>
          <w:numId w:val="20"/>
        </w:numPr>
        <w:suppressAutoHyphens/>
        <w:spacing w:before="0" w:beforeAutospacing="0" w:after="0" w:afterAutospacing="0" w:line="360" w:lineRule="auto"/>
      </w:pPr>
      <w:r>
        <w:t>Państwowy Powiatowy Inspektor Sanitarny w Pucku;</w:t>
      </w:r>
    </w:p>
    <w:p w14:paraId="6BC33C2E" w14:textId="77777777" w:rsidR="00807B9E" w:rsidRDefault="00807B9E" w:rsidP="00933183">
      <w:pPr>
        <w:pStyle w:val="NormalnyWeb"/>
        <w:numPr>
          <w:ilvl w:val="0"/>
          <w:numId w:val="20"/>
        </w:numPr>
        <w:suppressAutoHyphens/>
        <w:spacing w:before="0" w:beforeAutospacing="0" w:after="0" w:afterAutospacing="0" w:line="360" w:lineRule="auto"/>
      </w:pPr>
      <w:r>
        <w:t>Zarząd Zlewni w Gdańsku;</w:t>
      </w:r>
    </w:p>
    <w:p w14:paraId="48E04C08" w14:textId="2269492D" w:rsidR="003E069B" w:rsidRPr="00042D10" w:rsidRDefault="00807B9E" w:rsidP="003E069B">
      <w:pPr>
        <w:pStyle w:val="NormalnyWeb"/>
        <w:numPr>
          <w:ilvl w:val="0"/>
          <w:numId w:val="20"/>
        </w:numPr>
        <w:suppressAutoHyphens/>
        <w:spacing w:before="0" w:beforeAutospacing="0" w:after="0" w:afterAutospacing="0" w:line="360" w:lineRule="auto"/>
        <w:rPr>
          <w:color w:val="000000" w:themeColor="text1"/>
        </w:rPr>
      </w:pPr>
      <w:r>
        <w:rPr>
          <w:color w:val="000000" w:themeColor="text1"/>
        </w:rPr>
        <w:t>Urząd Morski w Gdyni.</w:t>
      </w:r>
    </w:p>
    <w:p w14:paraId="7F2761F2" w14:textId="54FB369C" w:rsidR="00807B9E" w:rsidRDefault="00807B9E" w:rsidP="00933183">
      <w:pPr>
        <w:pStyle w:val="NormalnyWeb"/>
        <w:spacing w:before="0" w:beforeAutospacing="0" w:after="0" w:afterAutospacing="0" w:line="360" w:lineRule="auto"/>
        <w:jc w:val="both"/>
      </w:pPr>
      <w:r>
        <w:lastRenderedPageBreak/>
        <w:t>Zgodnie z art. 35 § 5 Kpa, do terminów załatwienia sprawy nie wlicza się terminów przewidzianych w przepisach prawa dla dokonania określonych czynności, okresów zawieszenia postępowania oraz okresów opóźnień, spowodowanych z winy strony,</w:t>
      </w:r>
      <w:r>
        <w:br/>
        <w:t>albo z przyczyn niezależnych od organu.</w:t>
      </w:r>
    </w:p>
    <w:p w14:paraId="06EB3C99" w14:textId="77777777" w:rsidR="003E069B" w:rsidRDefault="003E069B" w:rsidP="00933183">
      <w:pPr>
        <w:pStyle w:val="NormalnyWeb"/>
        <w:spacing w:before="0" w:beforeAutospacing="0" w:after="0" w:afterAutospacing="0" w:line="360" w:lineRule="auto"/>
        <w:jc w:val="both"/>
      </w:pPr>
    </w:p>
    <w:p w14:paraId="1568D8B3" w14:textId="446ADD62" w:rsidR="00807B9E" w:rsidRDefault="00807B9E" w:rsidP="00933183">
      <w:pPr>
        <w:pStyle w:val="NormalnyWeb"/>
        <w:spacing w:before="0" w:beforeAutospacing="0" w:after="0" w:afterAutospacing="0" w:line="360" w:lineRule="auto"/>
        <w:jc w:val="both"/>
      </w:pPr>
      <w:r>
        <w:t>Strony mają prawo do czynnego udziału w każdym stadium postępowania administracyjnego,</w:t>
      </w:r>
      <w:r>
        <w:br/>
        <w:t>w tym prawo do przeglądania akt sprawy, sporządzania z nich notatek i odpisów</w:t>
      </w:r>
      <w:r>
        <w:br/>
        <w:t>(art. 73 § 1 Kpa) oraz do zgłoszenia ewentualnych uwag i wniosków.</w:t>
      </w:r>
    </w:p>
    <w:p w14:paraId="202C5B61" w14:textId="77777777" w:rsidR="003E069B" w:rsidRDefault="003E069B" w:rsidP="00933183">
      <w:pPr>
        <w:pStyle w:val="NormalnyWeb"/>
        <w:spacing w:before="0" w:beforeAutospacing="0" w:after="0" w:afterAutospacing="0" w:line="360" w:lineRule="auto"/>
        <w:jc w:val="both"/>
      </w:pPr>
    </w:p>
    <w:p w14:paraId="419A44D7" w14:textId="7B2945CB" w:rsidR="008A11C1" w:rsidRPr="00933183" w:rsidRDefault="00807B9E" w:rsidP="00933183">
      <w:pPr>
        <w:pStyle w:val="NormalnyWeb"/>
        <w:spacing w:before="0" w:beforeAutospacing="0" w:after="0" w:afterAutospacing="0" w:line="360" w:lineRule="auto"/>
        <w:jc w:val="both"/>
      </w:pPr>
      <w:r>
        <w:t>W celu zapoznania się z dokumentacją w powyższej sprawie należy kontaktować się z osobą prowadzącą postępowanie w Referacie Gospodarki Komunalnej Urzędu Miasta Helu,</w:t>
      </w:r>
      <w:r>
        <w:br/>
        <w:t>ul. Wiejska 50, 84-150 Hel w dniach pracy urzędu (poniedziałek – piątek w godz. 7:30 – 15:30) i ewentualnie wnieść swoje uwagi i zastrzeżenia dotyczące przedmiotu postępowania</w:t>
      </w:r>
      <w:r>
        <w:br/>
        <w:t xml:space="preserve">w </w:t>
      </w:r>
      <w:r>
        <w:rPr>
          <w:color w:val="000000" w:themeColor="text1"/>
        </w:rPr>
        <w:t>terminie 30 dni od daty wywieszenia</w:t>
      </w:r>
      <w:r>
        <w:t>.</w:t>
      </w:r>
    </w:p>
    <w:sectPr w:rsidR="008A11C1" w:rsidRPr="00933183" w:rsidSect="007E04EF">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FFACB" w14:textId="77777777" w:rsidR="007E04EF" w:rsidRDefault="007E04EF">
      <w:r>
        <w:separator/>
      </w:r>
    </w:p>
  </w:endnote>
  <w:endnote w:type="continuationSeparator" w:id="0">
    <w:p w14:paraId="078F65FD" w14:textId="77777777" w:rsidR="007E04EF" w:rsidRDefault="007E0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F183E" w14:textId="29E89B8B" w:rsidR="008A11C1" w:rsidRDefault="008A11C1" w:rsidP="00A65175">
    <w:pPr>
      <w:pStyle w:val="Stopka"/>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56F78" w14:textId="77777777" w:rsidR="007E04EF" w:rsidRDefault="007E04EF">
      <w:r>
        <w:separator/>
      </w:r>
    </w:p>
  </w:footnote>
  <w:footnote w:type="continuationSeparator" w:id="0">
    <w:p w14:paraId="5D3EBF70" w14:textId="77777777" w:rsidR="007E04EF" w:rsidRDefault="007E04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20B7"/>
    <w:multiLevelType w:val="hybridMultilevel"/>
    <w:tmpl w:val="8AEC19B8"/>
    <w:lvl w:ilvl="0" w:tplc="6E9A870A">
      <w:start w:val="1"/>
      <w:numFmt w:val="bullet"/>
      <w:lvlText w:val=""/>
      <w:lvlJc w:val="left"/>
      <w:pPr>
        <w:ind w:left="1428" w:hanging="360"/>
      </w:pPr>
      <w:rPr>
        <w:rFonts w:ascii="Symbol" w:hAnsi="Symbol" w:hint="default"/>
      </w:rPr>
    </w:lvl>
    <w:lvl w:ilvl="1" w:tplc="0EC05416" w:tentative="1">
      <w:start w:val="1"/>
      <w:numFmt w:val="bullet"/>
      <w:lvlText w:val="o"/>
      <w:lvlJc w:val="left"/>
      <w:pPr>
        <w:ind w:left="2148" w:hanging="360"/>
      </w:pPr>
      <w:rPr>
        <w:rFonts w:ascii="Courier New" w:hAnsi="Courier New" w:cs="Courier New" w:hint="default"/>
      </w:rPr>
    </w:lvl>
    <w:lvl w:ilvl="2" w:tplc="32DECA84" w:tentative="1">
      <w:start w:val="1"/>
      <w:numFmt w:val="bullet"/>
      <w:lvlText w:val=""/>
      <w:lvlJc w:val="left"/>
      <w:pPr>
        <w:ind w:left="2868" w:hanging="360"/>
      </w:pPr>
      <w:rPr>
        <w:rFonts w:ascii="Wingdings" w:hAnsi="Wingdings" w:hint="default"/>
      </w:rPr>
    </w:lvl>
    <w:lvl w:ilvl="3" w:tplc="B338E6EA" w:tentative="1">
      <w:start w:val="1"/>
      <w:numFmt w:val="bullet"/>
      <w:lvlText w:val=""/>
      <w:lvlJc w:val="left"/>
      <w:pPr>
        <w:ind w:left="3588" w:hanging="360"/>
      </w:pPr>
      <w:rPr>
        <w:rFonts w:ascii="Symbol" w:hAnsi="Symbol" w:hint="default"/>
      </w:rPr>
    </w:lvl>
    <w:lvl w:ilvl="4" w:tplc="4E50BFB4" w:tentative="1">
      <w:start w:val="1"/>
      <w:numFmt w:val="bullet"/>
      <w:lvlText w:val="o"/>
      <w:lvlJc w:val="left"/>
      <w:pPr>
        <w:ind w:left="4308" w:hanging="360"/>
      </w:pPr>
      <w:rPr>
        <w:rFonts w:ascii="Courier New" w:hAnsi="Courier New" w:cs="Courier New" w:hint="default"/>
      </w:rPr>
    </w:lvl>
    <w:lvl w:ilvl="5" w:tplc="CF78B69C" w:tentative="1">
      <w:start w:val="1"/>
      <w:numFmt w:val="bullet"/>
      <w:lvlText w:val=""/>
      <w:lvlJc w:val="left"/>
      <w:pPr>
        <w:ind w:left="5028" w:hanging="360"/>
      </w:pPr>
      <w:rPr>
        <w:rFonts w:ascii="Wingdings" w:hAnsi="Wingdings" w:hint="default"/>
      </w:rPr>
    </w:lvl>
    <w:lvl w:ilvl="6" w:tplc="019E6C7A" w:tentative="1">
      <w:start w:val="1"/>
      <w:numFmt w:val="bullet"/>
      <w:lvlText w:val=""/>
      <w:lvlJc w:val="left"/>
      <w:pPr>
        <w:ind w:left="5748" w:hanging="360"/>
      </w:pPr>
      <w:rPr>
        <w:rFonts w:ascii="Symbol" w:hAnsi="Symbol" w:hint="default"/>
      </w:rPr>
    </w:lvl>
    <w:lvl w:ilvl="7" w:tplc="0F78D092" w:tentative="1">
      <w:start w:val="1"/>
      <w:numFmt w:val="bullet"/>
      <w:lvlText w:val="o"/>
      <w:lvlJc w:val="left"/>
      <w:pPr>
        <w:ind w:left="6468" w:hanging="360"/>
      </w:pPr>
      <w:rPr>
        <w:rFonts w:ascii="Courier New" w:hAnsi="Courier New" w:cs="Courier New" w:hint="default"/>
      </w:rPr>
    </w:lvl>
    <w:lvl w:ilvl="8" w:tplc="22B277BC" w:tentative="1">
      <w:start w:val="1"/>
      <w:numFmt w:val="bullet"/>
      <w:lvlText w:val=""/>
      <w:lvlJc w:val="left"/>
      <w:pPr>
        <w:ind w:left="7188" w:hanging="360"/>
      </w:pPr>
      <w:rPr>
        <w:rFonts w:ascii="Wingdings" w:hAnsi="Wingdings" w:hint="default"/>
      </w:rPr>
    </w:lvl>
  </w:abstractNum>
  <w:abstractNum w:abstractNumId="1" w15:restartNumberingAfterBreak="0">
    <w:nsid w:val="006B315D"/>
    <w:multiLevelType w:val="hybridMultilevel"/>
    <w:tmpl w:val="F820932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9215804"/>
    <w:multiLevelType w:val="multilevel"/>
    <w:tmpl w:val="BADE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65C47"/>
    <w:multiLevelType w:val="multilevel"/>
    <w:tmpl w:val="B87E5C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EE44BE"/>
    <w:multiLevelType w:val="multilevel"/>
    <w:tmpl w:val="0164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ED14B1"/>
    <w:multiLevelType w:val="hybridMultilevel"/>
    <w:tmpl w:val="0D64FF28"/>
    <w:lvl w:ilvl="0" w:tplc="0882C5DA">
      <w:start w:val="1"/>
      <w:numFmt w:val="bullet"/>
      <w:lvlText w:val=""/>
      <w:lvlJc w:val="left"/>
      <w:pPr>
        <w:ind w:left="720" w:hanging="360"/>
      </w:pPr>
      <w:rPr>
        <w:rFonts w:ascii="Symbol" w:hAnsi="Symbol" w:hint="default"/>
      </w:rPr>
    </w:lvl>
    <w:lvl w:ilvl="1" w:tplc="DE8EA86A" w:tentative="1">
      <w:start w:val="1"/>
      <w:numFmt w:val="bullet"/>
      <w:lvlText w:val="o"/>
      <w:lvlJc w:val="left"/>
      <w:pPr>
        <w:ind w:left="1440" w:hanging="360"/>
      </w:pPr>
      <w:rPr>
        <w:rFonts w:ascii="Courier New" w:hAnsi="Courier New" w:cs="Courier New" w:hint="default"/>
      </w:rPr>
    </w:lvl>
    <w:lvl w:ilvl="2" w:tplc="77AEA85E" w:tentative="1">
      <w:start w:val="1"/>
      <w:numFmt w:val="bullet"/>
      <w:lvlText w:val=""/>
      <w:lvlJc w:val="left"/>
      <w:pPr>
        <w:ind w:left="2160" w:hanging="360"/>
      </w:pPr>
      <w:rPr>
        <w:rFonts w:ascii="Wingdings" w:hAnsi="Wingdings" w:hint="default"/>
      </w:rPr>
    </w:lvl>
    <w:lvl w:ilvl="3" w:tplc="943AD7AE" w:tentative="1">
      <w:start w:val="1"/>
      <w:numFmt w:val="bullet"/>
      <w:lvlText w:val=""/>
      <w:lvlJc w:val="left"/>
      <w:pPr>
        <w:ind w:left="2880" w:hanging="360"/>
      </w:pPr>
      <w:rPr>
        <w:rFonts w:ascii="Symbol" w:hAnsi="Symbol" w:hint="default"/>
      </w:rPr>
    </w:lvl>
    <w:lvl w:ilvl="4" w:tplc="D276B656" w:tentative="1">
      <w:start w:val="1"/>
      <w:numFmt w:val="bullet"/>
      <w:lvlText w:val="o"/>
      <w:lvlJc w:val="left"/>
      <w:pPr>
        <w:ind w:left="3600" w:hanging="360"/>
      </w:pPr>
      <w:rPr>
        <w:rFonts w:ascii="Courier New" w:hAnsi="Courier New" w:cs="Courier New" w:hint="default"/>
      </w:rPr>
    </w:lvl>
    <w:lvl w:ilvl="5" w:tplc="AB2E81A2" w:tentative="1">
      <w:start w:val="1"/>
      <w:numFmt w:val="bullet"/>
      <w:lvlText w:val=""/>
      <w:lvlJc w:val="left"/>
      <w:pPr>
        <w:ind w:left="4320" w:hanging="360"/>
      </w:pPr>
      <w:rPr>
        <w:rFonts w:ascii="Wingdings" w:hAnsi="Wingdings" w:hint="default"/>
      </w:rPr>
    </w:lvl>
    <w:lvl w:ilvl="6" w:tplc="835A7854" w:tentative="1">
      <w:start w:val="1"/>
      <w:numFmt w:val="bullet"/>
      <w:lvlText w:val=""/>
      <w:lvlJc w:val="left"/>
      <w:pPr>
        <w:ind w:left="5040" w:hanging="360"/>
      </w:pPr>
      <w:rPr>
        <w:rFonts w:ascii="Symbol" w:hAnsi="Symbol" w:hint="default"/>
      </w:rPr>
    </w:lvl>
    <w:lvl w:ilvl="7" w:tplc="BC360260" w:tentative="1">
      <w:start w:val="1"/>
      <w:numFmt w:val="bullet"/>
      <w:lvlText w:val="o"/>
      <w:lvlJc w:val="left"/>
      <w:pPr>
        <w:ind w:left="5760" w:hanging="360"/>
      </w:pPr>
      <w:rPr>
        <w:rFonts w:ascii="Courier New" w:hAnsi="Courier New" w:cs="Courier New" w:hint="default"/>
      </w:rPr>
    </w:lvl>
    <w:lvl w:ilvl="8" w:tplc="8E5AAFE4" w:tentative="1">
      <w:start w:val="1"/>
      <w:numFmt w:val="bullet"/>
      <w:lvlText w:val=""/>
      <w:lvlJc w:val="left"/>
      <w:pPr>
        <w:ind w:left="6480" w:hanging="360"/>
      </w:pPr>
      <w:rPr>
        <w:rFonts w:ascii="Wingdings" w:hAnsi="Wingdings" w:hint="default"/>
      </w:rPr>
    </w:lvl>
  </w:abstractNum>
  <w:abstractNum w:abstractNumId="6" w15:restartNumberingAfterBreak="0">
    <w:nsid w:val="38ED0A2B"/>
    <w:multiLevelType w:val="multilevel"/>
    <w:tmpl w:val="8D404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BC0B05"/>
    <w:multiLevelType w:val="hybridMultilevel"/>
    <w:tmpl w:val="D3969BDA"/>
    <w:lvl w:ilvl="0" w:tplc="55CA7776">
      <w:start w:val="1"/>
      <w:numFmt w:val="decimal"/>
      <w:lvlText w:val="%1."/>
      <w:lvlJc w:val="left"/>
      <w:pPr>
        <w:ind w:left="720" w:hanging="360"/>
      </w:pPr>
    </w:lvl>
    <w:lvl w:ilvl="1" w:tplc="4E601BA2" w:tentative="1">
      <w:start w:val="1"/>
      <w:numFmt w:val="lowerLetter"/>
      <w:lvlText w:val="%2."/>
      <w:lvlJc w:val="left"/>
      <w:pPr>
        <w:ind w:left="1440" w:hanging="360"/>
      </w:pPr>
    </w:lvl>
    <w:lvl w:ilvl="2" w:tplc="5AFE4D8C" w:tentative="1">
      <w:start w:val="1"/>
      <w:numFmt w:val="lowerRoman"/>
      <w:lvlText w:val="%3."/>
      <w:lvlJc w:val="right"/>
      <w:pPr>
        <w:ind w:left="2160" w:hanging="180"/>
      </w:pPr>
    </w:lvl>
    <w:lvl w:ilvl="3" w:tplc="6F741B16" w:tentative="1">
      <w:start w:val="1"/>
      <w:numFmt w:val="decimal"/>
      <w:lvlText w:val="%4."/>
      <w:lvlJc w:val="left"/>
      <w:pPr>
        <w:ind w:left="2880" w:hanging="360"/>
      </w:pPr>
    </w:lvl>
    <w:lvl w:ilvl="4" w:tplc="68BC8746" w:tentative="1">
      <w:start w:val="1"/>
      <w:numFmt w:val="lowerLetter"/>
      <w:lvlText w:val="%5."/>
      <w:lvlJc w:val="left"/>
      <w:pPr>
        <w:ind w:left="3600" w:hanging="360"/>
      </w:pPr>
    </w:lvl>
    <w:lvl w:ilvl="5" w:tplc="047A0810" w:tentative="1">
      <w:start w:val="1"/>
      <w:numFmt w:val="lowerRoman"/>
      <w:lvlText w:val="%6."/>
      <w:lvlJc w:val="right"/>
      <w:pPr>
        <w:ind w:left="4320" w:hanging="180"/>
      </w:pPr>
    </w:lvl>
    <w:lvl w:ilvl="6" w:tplc="9A285EAA" w:tentative="1">
      <w:start w:val="1"/>
      <w:numFmt w:val="decimal"/>
      <w:lvlText w:val="%7."/>
      <w:lvlJc w:val="left"/>
      <w:pPr>
        <w:ind w:left="5040" w:hanging="360"/>
      </w:pPr>
    </w:lvl>
    <w:lvl w:ilvl="7" w:tplc="385233F2" w:tentative="1">
      <w:start w:val="1"/>
      <w:numFmt w:val="lowerLetter"/>
      <w:lvlText w:val="%8."/>
      <w:lvlJc w:val="left"/>
      <w:pPr>
        <w:ind w:left="5760" w:hanging="360"/>
      </w:pPr>
    </w:lvl>
    <w:lvl w:ilvl="8" w:tplc="49BE7356" w:tentative="1">
      <w:start w:val="1"/>
      <w:numFmt w:val="lowerRoman"/>
      <w:lvlText w:val="%9."/>
      <w:lvlJc w:val="right"/>
      <w:pPr>
        <w:ind w:left="6480" w:hanging="180"/>
      </w:pPr>
    </w:lvl>
  </w:abstractNum>
  <w:abstractNum w:abstractNumId="8" w15:restartNumberingAfterBreak="0">
    <w:nsid w:val="3B903116"/>
    <w:multiLevelType w:val="hybridMultilevel"/>
    <w:tmpl w:val="B8923162"/>
    <w:lvl w:ilvl="0" w:tplc="9168DD9A">
      <w:start w:val="1"/>
      <w:numFmt w:val="decimal"/>
      <w:lvlText w:val="%1."/>
      <w:lvlJc w:val="left"/>
      <w:pPr>
        <w:tabs>
          <w:tab w:val="num" w:pos="720"/>
        </w:tabs>
        <w:ind w:left="510" w:hanging="453"/>
      </w:pPr>
      <w:rPr>
        <w:rFonts w:hint="default"/>
      </w:rPr>
    </w:lvl>
    <w:lvl w:ilvl="1" w:tplc="0A32A4F6" w:tentative="1">
      <w:start w:val="1"/>
      <w:numFmt w:val="lowerLetter"/>
      <w:lvlText w:val="%2."/>
      <w:lvlJc w:val="left"/>
      <w:pPr>
        <w:tabs>
          <w:tab w:val="num" w:pos="1440"/>
        </w:tabs>
        <w:ind w:left="1440" w:hanging="360"/>
      </w:pPr>
    </w:lvl>
    <w:lvl w:ilvl="2" w:tplc="15CED6EA" w:tentative="1">
      <w:start w:val="1"/>
      <w:numFmt w:val="lowerRoman"/>
      <w:lvlText w:val="%3."/>
      <w:lvlJc w:val="right"/>
      <w:pPr>
        <w:tabs>
          <w:tab w:val="num" w:pos="2160"/>
        </w:tabs>
        <w:ind w:left="2160" w:hanging="180"/>
      </w:pPr>
    </w:lvl>
    <w:lvl w:ilvl="3" w:tplc="794487CE" w:tentative="1">
      <w:start w:val="1"/>
      <w:numFmt w:val="decimal"/>
      <w:lvlText w:val="%4."/>
      <w:lvlJc w:val="left"/>
      <w:pPr>
        <w:tabs>
          <w:tab w:val="num" w:pos="2880"/>
        </w:tabs>
        <w:ind w:left="2880" w:hanging="360"/>
      </w:pPr>
    </w:lvl>
    <w:lvl w:ilvl="4" w:tplc="782CCB86" w:tentative="1">
      <w:start w:val="1"/>
      <w:numFmt w:val="lowerLetter"/>
      <w:lvlText w:val="%5."/>
      <w:lvlJc w:val="left"/>
      <w:pPr>
        <w:tabs>
          <w:tab w:val="num" w:pos="3600"/>
        </w:tabs>
        <w:ind w:left="3600" w:hanging="360"/>
      </w:pPr>
    </w:lvl>
    <w:lvl w:ilvl="5" w:tplc="5B78768C" w:tentative="1">
      <w:start w:val="1"/>
      <w:numFmt w:val="lowerRoman"/>
      <w:lvlText w:val="%6."/>
      <w:lvlJc w:val="right"/>
      <w:pPr>
        <w:tabs>
          <w:tab w:val="num" w:pos="4320"/>
        </w:tabs>
        <w:ind w:left="4320" w:hanging="180"/>
      </w:pPr>
    </w:lvl>
    <w:lvl w:ilvl="6" w:tplc="7056208A" w:tentative="1">
      <w:start w:val="1"/>
      <w:numFmt w:val="decimal"/>
      <w:lvlText w:val="%7."/>
      <w:lvlJc w:val="left"/>
      <w:pPr>
        <w:tabs>
          <w:tab w:val="num" w:pos="5040"/>
        </w:tabs>
        <w:ind w:left="5040" w:hanging="360"/>
      </w:pPr>
    </w:lvl>
    <w:lvl w:ilvl="7" w:tplc="A858A50E" w:tentative="1">
      <w:start w:val="1"/>
      <w:numFmt w:val="lowerLetter"/>
      <w:lvlText w:val="%8."/>
      <w:lvlJc w:val="left"/>
      <w:pPr>
        <w:tabs>
          <w:tab w:val="num" w:pos="5760"/>
        </w:tabs>
        <w:ind w:left="5760" w:hanging="360"/>
      </w:pPr>
    </w:lvl>
    <w:lvl w:ilvl="8" w:tplc="9C481E44" w:tentative="1">
      <w:start w:val="1"/>
      <w:numFmt w:val="lowerRoman"/>
      <w:lvlText w:val="%9."/>
      <w:lvlJc w:val="right"/>
      <w:pPr>
        <w:tabs>
          <w:tab w:val="num" w:pos="6480"/>
        </w:tabs>
        <w:ind w:left="6480" w:hanging="180"/>
      </w:pPr>
    </w:lvl>
  </w:abstractNum>
  <w:abstractNum w:abstractNumId="9" w15:restartNumberingAfterBreak="0">
    <w:nsid w:val="4ED63F21"/>
    <w:multiLevelType w:val="hybridMultilevel"/>
    <w:tmpl w:val="9E409C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84772B5"/>
    <w:multiLevelType w:val="multilevel"/>
    <w:tmpl w:val="CC880C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11D5291"/>
    <w:multiLevelType w:val="multilevel"/>
    <w:tmpl w:val="94E6C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027D66"/>
    <w:multiLevelType w:val="multilevel"/>
    <w:tmpl w:val="EFD0C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654EFC"/>
    <w:multiLevelType w:val="multilevel"/>
    <w:tmpl w:val="BB74D5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F51231"/>
    <w:multiLevelType w:val="multilevel"/>
    <w:tmpl w:val="2F08B6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1548743">
    <w:abstractNumId w:val="12"/>
  </w:num>
  <w:num w:numId="2" w16cid:durableId="1450005228">
    <w:abstractNumId w:val="11"/>
  </w:num>
  <w:num w:numId="3" w16cid:durableId="2057312360">
    <w:abstractNumId w:val="4"/>
  </w:num>
  <w:num w:numId="4" w16cid:durableId="1956713734">
    <w:abstractNumId w:val="2"/>
  </w:num>
  <w:num w:numId="5" w16cid:durableId="904098045">
    <w:abstractNumId w:val="3"/>
  </w:num>
  <w:num w:numId="6" w16cid:durableId="865293730">
    <w:abstractNumId w:val="13"/>
  </w:num>
  <w:num w:numId="7" w16cid:durableId="735661109">
    <w:abstractNumId w:val="6"/>
  </w:num>
  <w:num w:numId="8" w16cid:durableId="231085376">
    <w:abstractNumId w:val="14"/>
  </w:num>
  <w:num w:numId="9" w16cid:durableId="929241051">
    <w:abstractNumId w:val="14"/>
    <w:lvlOverride w:ilvl="1">
      <w:lvl w:ilvl="1">
        <w:numFmt w:val="decimal"/>
        <w:lvlText w:val="%2."/>
        <w:lvlJc w:val="left"/>
      </w:lvl>
    </w:lvlOverride>
  </w:num>
  <w:num w:numId="10" w16cid:durableId="993680126">
    <w:abstractNumId w:val="14"/>
    <w:lvlOverride w:ilvl="1">
      <w:lvl w:ilvl="1">
        <w:numFmt w:val="bullet"/>
        <w:lvlText w:val="o"/>
        <w:lvlJc w:val="left"/>
        <w:pPr>
          <w:tabs>
            <w:tab w:val="num" w:pos="1440"/>
          </w:tabs>
          <w:ind w:left="1440" w:hanging="360"/>
        </w:pPr>
        <w:rPr>
          <w:rFonts w:ascii="Courier New" w:hAnsi="Courier New" w:hint="default"/>
          <w:sz w:val="20"/>
        </w:rPr>
      </w:lvl>
    </w:lvlOverride>
  </w:num>
  <w:num w:numId="11" w16cid:durableId="522672472">
    <w:abstractNumId w:val="14"/>
    <w:lvlOverride w:ilvl="1">
      <w:lvl w:ilvl="1">
        <w:numFmt w:val="decimal"/>
        <w:lvlText w:val="%2."/>
        <w:lvlJc w:val="left"/>
        <w:pPr>
          <w:tabs>
            <w:tab w:val="num" w:pos="1440"/>
          </w:tabs>
          <w:ind w:left="1440" w:hanging="360"/>
        </w:pPr>
      </w:lvl>
    </w:lvlOverride>
  </w:num>
  <w:num w:numId="12" w16cid:durableId="749616491">
    <w:abstractNumId w:val="14"/>
    <w:lvlOverride w:ilvl="1">
      <w:lvl w:ilvl="1">
        <w:numFmt w:val="bullet"/>
        <w:lvlText w:val="o"/>
        <w:lvlJc w:val="left"/>
        <w:pPr>
          <w:tabs>
            <w:tab w:val="num" w:pos="1440"/>
          </w:tabs>
          <w:ind w:left="1440" w:hanging="360"/>
        </w:pPr>
        <w:rPr>
          <w:rFonts w:ascii="Courier New" w:hAnsi="Courier New" w:hint="default"/>
          <w:sz w:val="20"/>
        </w:rPr>
      </w:lvl>
    </w:lvlOverride>
  </w:num>
  <w:num w:numId="13" w16cid:durableId="1906069336">
    <w:abstractNumId w:val="14"/>
    <w:lvlOverride w:ilvl="1">
      <w:lvl w:ilvl="1">
        <w:numFmt w:val="decimal"/>
        <w:lvlText w:val="%2."/>
        <w:lvlJc w:val="left"/>
        <w:pPr>
          <w:tabs>
            <w:tab w:val="num" w:pos="1440"/>
          </w:tabs>
          <w:ind w:left="1440" w:hanging="360"/>
        </w:pPr>
      </w:lvl>
    </w:lvlOverride>
  </w:num>
  <w:num w:numId="14" w16cid:durableId="1739091688">
    <w:abstractNumId w:val="8"/>
  </w:num>
  <w:num w:numId="15" w16cid:durableId="289482821">
    <w:abstractNumId w:val="10"/>
  </w:num>
  <w:num w:numId="16" w16cid:durableId="1499616729">
    <w:abstractNumId w:val="5"/>
  </w:num>
  <w:num w:numId="17" w16cid:durableId="149449435">
    <w:abstractNumId w:val="7"/>
  </w:num>
  <w:num w:numId="18" w16cid:durableId="1954088909">
    <w:abstractNumId w:val="0"/>
  </w:num>
  <w:num w:numId="19" w16cid:durableId="118844683">
    <w:abstractNumId w:val="9"/>
  </w:num>
  <w:num w:numId="20" w16cid:durableId="1681272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F40"/>
    <w:rsid w:val="00042D10"/>
    <w:rsid w:val="00177F40"/>
    <w:rsid w:val="003E069B"/>
    <w:rsid w:val="0051073C"/>
    <w:rsid w:val="00526BF5"/>
    <w:rsid w:val="005B7E33"/>
    <w:rsid w:val="00605F05"/>
    <w:rsid w:val="00673D16"/>
    <w:rsid w:val="007E04EF"/>
    <w:rsid w:val="00807B9E"/>
    <w:rsid w:val="008A11C1"/>
    <w:rsid w:val="00933183"/>
    <w:rsid w:val="00A65175"/>
    <w:rsid w:val="00D86B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DC3D8F"/>
  <w15:docId w15:val="{142D8A2E-C669-4DFA-870F-CE3D437BE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rsid w:val="00144B89"/>
    <w:pPr>
      <w:spacing w:before="100" w:beforeAutospacing="1" w:after="100" w:afterAutospacing="1"/>
    </w:pPr>
  </w:style>
  <w:style w:type="character" w:styleId="Hipercze">
    <w:name w:val="Hyperlink"/>
    <w:rsid w:val="00144B89"/>
    <w:rPr>
      <w:color w:val="0000FF"/>
      <w:u w:val="single"/>
    </w:rPr>
  </w:style>
  <w:style w:type="table" w:styleId="Tabela-Siatka">
    <w:name w:val="Table Grid"/>
    <w:basedOn w:val="Standardowy"/>
    <w:rsid w:val="00907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363E52"/>
    <w:rPr>
      <w:rFonts w:ascii="Segoe UI" w:hAnsi="Segoe UI" w:cs="Segoe UI"/>
      <w:sz w:val="18"/>
      <w:szCs w:val="18"/>
    </w:rPr>
  </w:style>
  <w:style w:type="character" w:customStyle="1" w:styleId="TekstdymkaZnak">
    <w:name w:val="Tekst dymka Znak"/>
    <w:link w:val="Tekstdymka"/>
    <w:rsid w:val="00363E52"/>
    <w:rPr>
      <w:rFonts w:ascii="Segoe UI" w:hAnsi="Segoe UI" w:cs="Segoe UI"/>
      <w:sz w:val="18"/>
      <w:szCs w:val="18"/>
    </w:rPr>
  </w:style>
  <w:style w:type="paragraph" w:customStyle="1" w:styleId="Domynie">
    <w:name w:val="Domy徑nie"/>
    <w:rsid w:val="00C32A4B"/>
    <w:pPr>
      <w:widowControl w:val="0"/>
      <w:autoSpaceDN w:val="0"/>
      <w:adjustRightInd w:val="0"/>
    </w:pPr>
    <w:rPr>
      <w:kern w:val="1"/>
      <w:sz w:val="24"/>
      <w:szCs w:val="24"/>
      <w:lang w:bidi="hi-IN"/>
    </w:rPr>
  </w:style>
  <w:style w:type="character" w:customStyle="1" w:styleId="Nierozpoznanawzmianka1">
    <w:name w:val="Nierozpoznana wzmianka1"/>
    <w:basedOn w:val="Domylnaczcionkaakapitu"/>
    <w:uiPriority w:val="99"/>
    <w:semiHidden/>
    <w:unhideWhenUsed/>
    <w:rsid w:val="00FA00AB"/>
    <w:rPr>
      <w:color w:val="605E5C"/>
      <w:shd w:val="clear" w:color="auto" w:fill="E1DFDD"/>
    </w:rPr>
  </w:style>
  <w:style w:type="paragraph" w:styleId="Nagwek">
    <w:name w:val="header"/>
    <w:basedOn w:val="Normalny"/>
    <w:link w:val="NagwekZnak"/>
    <w:rsid w:val="00B451C7"/>
    <w:pPr>
      <w:tabs>
        <w:tab w:val="center" w:pos="4536"/>
        <w:tab w:val="right" w:pos="9072"/>
      </w:tabs>
    </w:pPr>
  </w:style>
  <w:style w:type="character" w:customStyle="1" w:styleId="NagwekZnak">
    <w:name w:val="Nagłówek Znak"/>
    <w:basedOn w:val="Domylnaczcionkaakapitu"/>
    <w:link w:val="Nagwek"/>
    <w:rsid w:val="00B451C7"/>
    <w:rPr>
      <w:sz w:val="24"/>
      <w:szCs w:val="24"/>
    </w:rPr>
  </w:style>
  <w:style w:type="paragraph" w:styleId="Stopka">
    <w:name w:val="footer"/>
    <w:basedOn w:val="Normalny"/>
    <w:link w:val="StopkaZnak"/>
    <w:uiPriority w:val="99"/>
    <w:rsid w:val="00B451C7"/>
    <w:pPr>
      <w:tabs>
        <w:tab w:val="center" w:pos="4536"/>
        <w:tab w:val="right" w:pos="9072"/>
      </w:tabs>
    </w:pPr>
  </w:style>
  <w:style w:type="character" w:customStyle="1" w:styleId="StopkaZnak">
    <w:name w:val="Stopka Znak"/>
    <w:basedOn w:val="Domylnaczcionkaakapitu"/>
    <w:link w:val="Stopka"/>
    <w:uiPriority w:val="99"/>
    <w:rsid w:val="00B451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20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OneDrive\UMH%20Dokumenty\EZD%20PUW\_%20Szablony%20%20UM%20Helu\Pismo%20Burmistrz%20Helu%20v1.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7A034-F187-4D34-8139-3E6B73792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Pismo Burmistrz Helu v1</Template>
  <TotalTime>32</TotalTime>
  <Pages>2</Pages>
  <Words>378</Words>
  <Characters>2274</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Urząd Miasta Helu</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Albecki</dc:creator>
  <cp:lastModifiedBy>Elżbieta Fafińska</cp:lastModifiedBy>
  <cp:revision>6</cp:revision>
  <cp:lastPrinted>2023-11-22T12:59:00Z</cp:lastPrinted>
  <dcterms:created xsi:type="dcterms:W3CDTF">2024-01-30T09:45:00Z</dcterms:created>
  <dcterms:modified xsi:type="dcterms:W3CDTF">2024-02-16T10:48:00Z</dcterms:modified>
</cp:coreProperties>
</file>